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à choix multiples : manger du sucre !</w:t>
      </w:r>
    </w:p>
    <w:p w:rsidR="00000000" w:rsidDel="00000000" w:rsidP="00000000" w:rsidRDefault="00000000" w:rsidRPr="00000000" w14:paraId="00000003">
      <w:pPr>
        <w:jc w:val="center"/>
        <w:rPr>
          <w:rFonts w:ascii="Open Sans" w:cs="Open Sans" w:eastAsia="Open Sans" w:hAnsi="Open Sans"/>
          <w:b w:val="1"/>
          <w:i w:val="1"/>
          <w:color w:val="366091"/>
        </w:rPr>
      </w:pPr>
      <w:hyperlink r:id="rId7">
        <w:r w:rsidDel="00000000" w:rsidR="00000000" w:rsidRPr="00000000">
          <w:rPr>
            <w:rFonts w:ascii="Open Sans" w:cs="Open Sans" w:eastAsia="Open Sans" w:hAnsi="Open Sans"/>
            <w:b w:val="1"/>
            <w:i w:val="1"/>
            <w:color w:val="1155cc"/>
            <w:u w:val="single"/>
            <w:rtl w:val="0"/>
          </w:rPr>
          <w:t xml:space="preserve">https://www.opensign.eu/fr/multiplechoice/62</w:t>
        </w:r>
      </w:hyperlink>
      <w:r w:rsidDel="00000000" w:rsidR="00000000" w:rsidRPr="00000000">
        <w:rPr>
          <w:rFonts w:ascii="Open Sans" w:cs="Open Sans" w:eastAsia="Open Sans" w:hAnsi="Open Sans"/>
          <w:b w:val="1"/>
          <w:i w:val="1"/>
          <w:color w:val="366091"/>
          <w:rtl w:val="0"/>
        </w:rPr>
        <w:t xml:space="preserve"> </w:t>
      </w:r>
    </w:p>
    <w:p w:rsidR="00000000" w:rsidDel="00000000" w:rsidP="00000000" w:rsidRDefault="00000000" w:rsidRPr="00000000" w14:paraId="00000004">
      <w:pPr>
        <w:jc w:val="center"/>
        <w:rPr>
          <w:rFonts w:ascii="Open Sans" w:cs="Open Sans" w:eastAsia="Open Sans" w:hAnsi="Open Sans"/>
          <w:b w:val="1"/>
          <w:i w:val="1"/>
          <w:color w:val="1155cc"/>
          <w:u w:val="single"/>
        </w:rPr>
      </w:pPr>
      <w:r w:rsidDel="00000000" w:rsidR="00000000" w:rsidRPr="00000000">
        <w:rPr>
          <w:rtl w:val="0"/>
        </w:rPr>
      </w:r>
    </w:p>
    <w:p w:rsidR="00000000" w:rsidDel="00000000" w:rsidP="00000000" w:rsidRDefault="00000000" w:rsidRPr="00000000" w14:paraId="00000005">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Classe d’âge :</w:t>
      </w:r>
      <w:r w:rsidDel="00000000" w:rsidR="00000000" w:rsidRPr="00000000">
        <w:rPr>
          <w:rFonts w:ascii="Open Sans" w:cs="Open Sans" w:eastAsia="Open Sans" w:hAnsi="Open Sans"/>
          <w:b w:val="1"/>
          <w:i w:val="1"/>
          <w:sz w:val="22"/>
          <w:szCs w:val="22"/>
          <w:rtl w:val="0"/>
        </w:rPr>
        <w:t xml:space="preserve"> 8 à 12 ans</w:t>
      </w:r>
    </w:p>
    <w:p w:rsidR="00000000" w:rsidDel="00000000" w:rsidP="00000000" w:rsidRDefault="00000000" w:rsidRPr="00000000" w14:paraId="00000007">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Auteur : </w:t>
      </w:r>
      <w:r w:rsidDel="00000000" w:rsidR="00000000" w:rsidRPr="00000000">
        <w:rPr>
          <w:rFonts w:ascii="Open Sans" w:cs="Open Sans" w:eastAsia="Open Sans" w:hAnsi="Open Sans"/>
          <w:b w:val="1"/>
          <w:i w:val="1"/>
          <w:sz w:val="22"/>
          <w:szCs w:val="22"/>
          <w:rtl w:val="0"/>
        </w:rPr>
        <w:t xml:space="preserve">Média’Pi!</w:t>
      </w:r>
      <w:hyperlink r:id="rId8">
        <w:r w:rsidDel="00000000" w:rsidR="00000000" w:rsidRPr="00000000">
          <w:rPr>
            <w:rFonts w:ascii="Open Sans" w:cs="Open Sans" w:eastAsia="Open Sans" w:hAnsi="Open Sans"/>
            <w:b w:val="1"/>
            <w:i w:val="1"/>
            <w:sz w:val="22"/>
            <w:szCs w:val="22"/>
            <w:rtl w:val="0"/>
          </w:rPr>
          <w:t xml:space="preserve"> </w:t>
        </w:r>
      </w:hyperlink>
      <w:hyperlink r:id="rId9">
        <w:r w:rsidDel="00000000" w:rsidR="00000000" w:rsidRPr="00000000">
          <w:rPr>
            <w:rFonts w:ascii="Open Sans" w:cs="Open Sans" w:eastAsia="Open Sans" w:hAnsi="Open Sans"/>
            <w:b w:val="1"/>
            <w:i w:val="1"/>
            <w:color w:val="1155cc"/>
            <w:sz w:val="22"/>
            <w:szCs w:val="22"/>
            <w:u w:val="single"/>
            <w:rtl w:val="0"/>
          </w:rPr>
          <w:t xml:space="preserve">www.media-pi.fr</w:t>
        </w:r>
      </w:hyperlink>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9">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w:t>
      </w:r>
      <w:r w:rsidDel="00000000" w:rsidR="00000000" w:rsidRPr="00000000">
        <w:rPr>
          <w:rFonts w:ascii="Open Sans" w:cs="Open Sans" w:eastAsia="Open Sans" w:hAnsi="Open Sans"/>
          <w:b w:val="1"/>
          <w:i w:val="1"/>
          <w:sz w:val="22"/>
          <w:szCs w:val="22"/>
          <w:rtl w:val="0"/>
        </w:rPr>
        <w:t xml:space="preserve">:</w:t>
      </w:r>
    </w:p>
    <w:p w:rsidR="00000000" w:rsidDel="00000000" w:rsidP="00000000" w:rsidRDefault="00000000" w:rsidRPr="00000000" w14:paraId="0000000B">
      <w:pPr>
        <w:numPr>
          <w:ilvl w:val="0"/>
          <w:numId w:val="1"/>
        </w:numPr>
        <w:spacing w:after="0" w:before="24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Connaître la différence entre le sucre naturel et le sucre industriel et leurs effets sur le corps.</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privilégier les sucres naturels sans excès. </w:t>
      </w:r>
      <w:r w:rsidDel="00000000" w:rsidR="00000000" w:rsidRPr="00000000">
        <w:rPr>
          <w:rtl w:val="0"/>
        </w:rPr>
      </w:r>
    </w:p>
    <w:p w:rsidR="00000000" w:rsidDel="00000000" w:rsidP="00000000" w:rsidRDefault="00000000" w:rsidRPr="00000000" w14:paraId="0000000D">
      <w:pPr>
        <w:numPr>
          <w:ilvl w:val="0"/>
          <w:numId w:val="1"/>
        </w:numPr>
        <w:spacing w:after="24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prendre le temps d’écouter les 3 propositions de réponses et choisir la réponse. </w:t>
      </w: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i w:val="1"/>
          <w:color w:val="1155cc"/>
          <w:sz w:val="22"/>
          <w:szCs w:val="22"/>
          <w:u w:val="single"/>
        </w:rPr>
      </w:pPr>
      <w:r w:rsidDel="00000000" w:rsidR="00000000" w:rsidRPr="00000000">
        <w:rPr>
          <w:rFonts w:ascii="Open Sans" w:cs="Open Sans" w:eastAsia="Open Sans" w:hAnsi="Open Sans"/>
          <w:b w:val="1"/>
          <w:i w:val="1"/>
          <w:color w:val="366091"/>
          <w:sz w:val="22"/>
          <w:szCs w:val="22"/>
          <w:rtl w:val="0"/>
        </w:rPr>
        <w:t xml:space="preserve">Compétences relatives aux programmes européens</w:t>
      </w:r>
      <w:r w:rsidDel="00000000" w:rsidR="00000000" w:rsidRPr="00000000">
        <w:rPr>
          <w:rFonts w:ascii="Open Sans" w:cs="Open Sans" w:eastAsia="Open Sans" w:hAnsi="Open Sans"/>
          <w:b w:val="1"/>
          <w:i w:val="1"/>
          <w:sz w:val="22"/>
          <w:szCs w:val="22"/>
          <w:rtl w:val="0"/>
        </w:rPr>
        <w:t xml:space="preserve"> :</w:t>
      </w:r>
      <w:r w:rsidDel="00000000" w:rsidR="00000000" w:rsidRPr="00000000">
        <w:rPr>
          <w:rtl w:val="0"/>
        </w:rPr>
      </w:r>
    </w:p>
    <w:p w:rsidR="00000000" w:rsidDel="00000000" w:rsidP="00000000" w:rsidRDefault="00000000" w:rsidRPr="00000000" w14:paraId="0000000F">
      <w:pPr>
        <w:spacing w:after="180" w:before="180" w:lineRule="auto"/>
        <w:rPr>
          <w:rFonts w:ascii="Open Sans" w:cs="Open Sans" w:eastAsia="Open Sans" w:hAnsi="Open Sans"/>
          <w:b w:val="1"/>
          <w:i w:val="1"/>
          <w:color w:val="1155cc"/>
          <w:sz w:val="22"/>
          <w:szCs w:val="22"/>
          <w:u w:val="single"/>
        </w:rPr>
      </w:pPr>
      <w:hyperlink r:id="rId10">
        <w:r w:rsidDel="00000000" w:rsidR="00000000" w:rsidRPr="00000000">
          <w:rPr>
            <w:rFonts w:ascii="Open Sans" w:cs="Open Sans" w:eastAsia="Open Sans" w:hAnsi="Open Sans"/>
            <w:b w:val="1"/>
            <w:i w:val="1"/>
            <w:color w:val="1155cc"/>
            <w:sz w:val="22"/>
            <w:szCs w:val="22"/>
            <w:u w:val="single"/>
            <w:rtl w:val="0"/>
          </w:rPr>
          <w:t xml:space="preserve">http://eur-lex.europa.eu/legal-content/FR/TXT/?uri=LEGISSUM%3Ac11090</w:t>
        </w:r>
      </w:hyperlink>
      <w:r w:rsidDel="00000000" w:rsidR="00000000" w:rsidRPr="00000000">
        <w:rPr>
          <w:rtl w:val="0"/>
        </w:rPr>
      </w:r>
    </w:p>
    <w:p w:rsidR="00000000" w:rsidDel="00000000" w:rsidP="00000000" w:rsidRDefault="00000000" w:rsidRPr="00000000" w14:paraId="00000010">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Vocabulaires spécifiques / mots-clés :</w:t>
      </w:r>
    </w:p>
    <w:p w:rsidR="00000000" w:rsidDel="00000000" w:rsidP="00000000" w:rsidRDefault="00000000" w:rsidRPr="00000000" w14:paraId="00000012">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Sucre naturel, sucre industriel.</w:t>
      </w:r>
    </w:p>
    <w:p w:rsidR="00000000" w:rsidDel="00000000" w:rsidP="00000000" w:rsidRDefault="00000000" w:rsidRPr="00000000" w14:paraId="0000001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Courte description de la progression pédagogique/scénario :</w:t>
      </w:r>
    </w:p>
    <w:p w:rsidR="00000000" w:rsidDel="00000000" w:rsidP="00000000" w:rsidRDefault="00000000" w:rsidRPr="00000000" w14:paraId="00000015">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Après visionnage de la vidéo sur le thème « Le sucre » (</w:t>
      </w:r>
      <w:hyperlink r:id="rId11">
        <w:r w:rsidDel="00000000" w:rsidR="00000000" w:rsidRPr="00000000">
          <w:rPr>
            <w:rFonts w:ascii="Open Sans" w:cs="Open Sans" w:eastAsia="Open Sans" w:hAnsi="Open Sans"/>
            <w:b w:val="1"/>
            <w:i w:val="1"/>
            <w:color w:val="1155cc"/>
            <w:sz w:val="22"/>
            <w:szCs w:val="22"/>
            <w:u w:val="single"/>
            <w:rtl w:val="0"/>
          </w:rPr>
          <w:t xml:space="preserve">http://www.opensign.eu/thematic_topics/56</w:t>
        </w:r>
      </w:hyperlink>
      <w:r w:rsidDel="00000000" w:rsidR="00000000" w:rsidRPr="00000000">
        <w:rPr>
          <w:rFonts w:ascii="Open Sans" w:cs="Open Sans" w:eastAsia="Open Sans" w:hAnsi="Open Sans"/>
          <w:b w:val="1"/>
          <w:i w:val="1"/>
          <w:sz w:val="22"/>
          <w:szCs w:val="22"/>
          <w:rtl w:val="0"/>
        </w:rPr>
        <w:t xml:space="preserve">) et échange autour du contenu de la vidéo, ce jeu permet une évaluation de la compréhension de la vidéo. </w:t>
      </w:r>
    </w:p>
    <w:p w:rsidR="00000000" w:rsidDel="00000000" w:rsidP="00000000" w:rsidRDefault="00000000" w:rsidRPr="00000000" w14:paraId="00000016">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Sur un espace avec 3 propositions, cocher les propositions exactes. L’enfant doit être capable de justifier son choix. </w:t>
      </w:r>
    </w:p>
    <w:p w:rsidR="00000000" w:rsidDel="00000000" w:rsidP="00000000" w:rsidRDefault="00000000" w:rsidRPr="00000000" w14:paraId="00000018">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9">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Matériel nécessaire :</w:t>
      </w:r>
    </w:p>
    <w:p w:rsidR="00000000" w:rsidDel="00000000" w:rsidP="00000000" w:rsidRDefault="00000000" w:rsidRPr="00000000" w14:paraId="0000001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Un ordinateur et une connexion internet.</w:t>
      </w:r>
    </w:p>
    <w:p w:rsidR="00000000" w:rsidDel="00000000" w:rsidP="00000000" w:rsidRDefault="00000000" w:rsidRPr="00000000" w14:paraId="0000001B">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C">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D">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Focus autour de la langue des signes : </w:t>
      </w:r>
    </w:p>
    <w:p w:rsidR="00000000" w:rsidDel="00000000" w:rsidP="00000000" w:rsidRDefault="00000000" w:rsidRPr="00000000" w14:paraId="0000001E">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Ne pas hésiter à inviter le joueur à écouter plusieurs fois la question et les réponses, à reformuler dans sa langue des signes. Vous pouvez questionner l’enfant sur son ou ses choix. </w:t>
      </w:r>
    </w:p>
    <w:p w:rsidR="00000000" w:rsidDel="00000000" w:rsidP="00000000" w:rsidRDefault="00000000" w:rsidRPr="00000000" w14:paraId="0000001F">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0">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1">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3">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4">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5">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26">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à choix multiples : manger du sucre !</w:t>
      </w:r>
    </w:p>
    <w:p w:rsidR="00000000" w:rsidDel="00000000" w:rsidP="00000000" w:rsidRDefault="00000000" w:rsidRPr="00000000" w14:paraId="00000027">
      <w:pPr>
        <w:jc w:val="center"/>
        <w:rPr>
          <w:rFonts w:ascii="Open Sans" w:cs="Open Sans" w:eastAsia="Open Sans" w:hAnsi="Open Sans"/>
          <w:b w:val="1"/>
          <w:i w:val="1"/>
          <w:color w:val="366091"/>
        </w:rPr>
      </w:pPr>
      <w:hyperlink r:id="rId12">
        <w:r w:rsidDel="00000000" w:rsidR="00000000" w:rsidRPr="00000000">
          <w:rPr>
            <w:rFonts w:ascii="Open Sans" w:cs="Open Sans" w:eastAsia="Open Sans" w:hAnsi="Open Sans"/>
            <w:b w:val="1"/>
            <w:i w:val="1"/>
            <w:color w:val="1155cc"/>
            <w:u w:val="single"/>
            <w:rtl w:val="0"/>
          </w:rPr>
          <w:t xml:space="preserve">https://www.opensign.eu/multiplechoice/62</w:t>
        </w:r>
      </w:hyperlink>
      <w:r w:rsidDel="00000000" w:rsidR="00000000" w:rsidRPr="00000000">
        <w:rPr>
          <w:rFonts w:ascii="Open Sans" w:cs="Open Sans" w:eastAsia="Open Sans" w:hAnsi="Open Sans"/>
          <w:b w:val="1"/>
          <w:i w:val="1"/>
          <w:color w:val="366091"/>
          <w:rtl w:val="0"/>
        </w:rPr>
        <w:t xml:space="preserve"> </w:t>
      </w:r>
    </w:p>
    <w:p w:rsidR="00000000" w:rsidDel="00000000" w:rsidP="00000000" w:rsidRDefault="00000000" w:rsidRPr="00000000" w14:paraId="00000028">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I- Trace écrite: auto-évaluation: </w:t>
      </w:r>
    </w:p>
    <w:p w:rsidR="00000000" w:rsidDel="00000000" w:rsidP="00000000" w:rsidRDefault="00000000" w:rsidRPr="00000000" w14:paraId="0000002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Tu as essayé le jeu à choix multiples sur Open Sign.</w:t>
      </w:r>
    </w:p>
    <w:p w:rsidR="00000000" w:rsidDel="00000000" w:rsidP="00000000" w:rsidRDefault="00000000" w:rsidRPr="00000000" w14:paraId="0000002B">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Pour garder une trace de ton travail, indique le nombre de tentative dans la case correspondante. </w:t>
      </w:r>
    </w:p>
    <w:p w:rsidR="00000000" w:rsidDel="00000000" w:rsidP="00000000" w:rsidRDefault="00000000" w:rsidRPr="00000000" w14:paraId="0000002C">
      <w:pP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Pr>
        <w:drawing>
          <wp:inline distB="114300" distT="114300" distL="114300" distR="114300">
            <wp:extent cx="6278822" cy="4694873"/>
            <wp:effectExtent b="0" l="0" r="0" t="0"/>
            <wp:docPr id="18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278822" cy="469487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ind w:left="0" w:firstLine="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F">
      <w:pPr>
        <w:tabs>
          <w:tab w:val="left" w:pos="1275"/>
        </w:tabs>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II- Prolongements / liens vers d’autres outils numériques :</w:t>
      </w:r>
    </w:p>
    <w:p w:rsidR="00000000" w:rsidDel="00000000" w:rsidP="00000000" w:rsidRDefault="00000000" w:rsidRPr="00000000" w14:paraId="00000030">
      <w:pPr>
        <w:numPr>
          <w:ilvl w:val="0"/>
          <w:numId w:val="2"/>
        </w:numPr>
        <w:tabs>
          <w:tab w:val="left" w:pos="1275"/>
        </w:tabs>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Vidéo thématique :   Le sucre </w:t>
      </w:r>
      <w:r w:rsidDel="00000000" w:rsidR="00000000" w:rsidRPr="00000000">
        <w:rPr>
          <w:rtl w:val="0"/>
        </w:rPr>
      </w:r>
    </w:p>
    <w:p w:rsidR="00000000" w:rsidDel="00000000" w:rsidP="00000000" w:rsidRDefault="00000000" w:rsidRPr="00000000" w14:paraId="00000031">
      <w:pPr>
        <w:tabs>
          <w:tab w:val="left" w:pos="1275"/>
        </w:tabs>
        <w:ind w:left="720" w:firstLine="0"/>
        <w:rPr>
          <w:rFonts w:ascii="Open Sans" w:cs="Open Sans" w:eastAsia="Open Sans" w:hAnsi="Open Sans"/>
          <w:b w:val="1"/>
          <w:sz w:val="22"/>
          <w:szCs w:val="22"/>
        </w:rPr>
      </w:pPr>
      <w:hyperlink r:id="rId14">
        <w:r w:rsidDel="00000000" w:rsidR="00000000" w:rsidRPr="00000000">
          <w:rPr>
            <w:rFonts w:ascii="Open Sans" w:cs="Open Sans" w:eastAsia="Open Sans" w:hAnsi="Open Sans"/>
            <w:b w:val="1"/>
            <w:color w:val="1155cc"/>
            <w:sz w:val="22"/>
            <w:szCs w:val="22"/>
            <w:u w:val="single"/>
            <w:rtl w:val="0"/>
          </w:rPr>
          <w:t xml:space="preserve">http://www.opensign.eu/thematic_topics/56</w:t>
        </w:r>
      </w:hyperlink>
      <w:r w:rsidDel="00000000" w:rsidR="00000000" w:rsidRPr="00000000">
        <w:rPr>
          <w:rtl w:val="0"/>
        </w:rPr>
      </w:r>
    </w:p>
    <w:p w:rsidR="00000000" w:rsidDel="00000000" w:rsidP="00000000" w:rsidRDefault="00000000" w:rsidRPr="00000000" w14:paraId="00000032">
      <w:pPr>
        <w:numPr>
          <w:ilvl w:val="0"/>
          <w:numId w:val="2"/>
        </w:numPr>
        <w:tabs>
          <w:tab w:val="left" w:pos="1275"/>
        </w:tabs>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Jeu à choix multiples : Les niveaux d’énergie </w:t>
      </w:r>
      <w:hyperlink r:id="rId15">
        <w:r w:rsidDel="00000000" w:rsidR="00000000" w:rsidRPr="00000000">
          <w:rPr>
            <w:rFonts w:ascii="Open Sans" w:cs="Open Sans" w:eastAsia="Open Sans" w:hAnsi="Open Sans"/>
            <w:b w:val="1"/>
            <w:color w:val="1155cc"/>
            <w:sz w:val="22"/>
            <w:szCs w:val="22"/>
            <w:u w:val="single"/>
            <w:rtl w:val="0"/>
          </w:rPr>
          <w:t xml:space="preserve">http://www.opensign.eu/multiplechoice/62</w:t>
        </w:r>
      </w:hyperlink>
      <w:r w:rsidDel="00000000" w:rsidR="00000000" w:rsidRPr="00000000">
        <w:rPr>
          <w:rFonts w:ascii="Open Sans" w:cs="Open Sans" w:eastAsia="Open Sans" w:hAnsi="Open Sans"/>
          <w:b w:val="1"/>
          <w:sz w:val="22"/>
          <w:szCs w:val="22"/>
          <w:rtl w:val="0"/>
        </w:rPr>
        <w:t xml:space="preserve"> </w:t>
      </w:r>
      <w:r w:rsidDel="00000000" w:rsidR="00000000" w:rsidRPr="00000000">
        <w:rPr>
          <w:rtl w:val="0"/>
        </w:rPr>
      </w:r>
    </w:p>
    <w:p w:rsidR="00000000" w:rsidDel="00000000" w:rsidP="00000000" w:rsidRDefault="00000000" w:rsidRPr="00000000" w14:paraId="00000033">
      <w:pPr>
        <w:numPr>
          <w:ilvl w:val="0"/>
          <w:numId w:val="2"/>
        </w:numPr>
        <w:tabs>
          <w:tab w:val="left" w:pos="1275"/>
        </w:tabs>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Jeu de mémoire : le sucre caché niveau 1  </w:t>
      </w:r>
      <w:hyperlink r:id="rId16">
        <w:r w:rsidDel="00000000" w:rsidR="00000000" w:rsidRPr="00000000">
          <w:rPr>
            <w:rFonts w:ascii="Open Sans" w:cs="Open Sans" w:eastAsia="Open Sans" w:hAnsi="Open Sans"/>
            <w:b w:val="1"/>
            <w:color w:val="1155cc"/>
            <w:sz w:val="22"/>
            <w:szCs w:val="22"/>
            <w:u w:val="single"/>
            <w:rtl w:val="0"/>
          </w:rPr>
          <w:t xml:space="preserve">http://www.opensign.eu/memory_game/78</w:t>
        </w:r>
      </w:hyperlink>
      <w:r w:rsidDel="00000000" w:rsidR="00000000" w:rsidRPr="00000000">
        <w:rPr>
          <w:rtl w:val="0"/>
        </w:rPr>
      </w:r>
    </w:p>
    <w:p w:rsidR="00000000" w:rsidDel="00000000" w:rsidP="00000000" w:rsidRDefault="00000000" w:rsidRPr="00000000" w14:paraId="00000034">
      <w:pPr>
        <w:tabs>
          <w:tab w:val="left" w:pos="1275"/>
        </w:tabs>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35">
      <w:pPr>
        <w:tabs>
          <w:tab w:val="left" w:pos="1275"/>
        </w:tabs>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Toi aussi, tu peux créer tes propres supports : vidéos, jeux, fiches…</w:t>
      </w:r>
    </w:p>
    <w:p w:rsidR="00000000" w:rsidDel="00000000" w:rsidP="00000000" w:rsidRDefault="00000000" w:rsidRPr="00000000" w14:paraId="00000036">
      <w:pPr>
        <w:tabs>
          <w:tab w:val="left" w:pos="1275"/>
        </w:tabs>
        <w:rPr>
          <w:rFonts w:ascii="Open Sans" w:cs="Open Sans" w:eastAsia="Open Sans" w:hAnsi="Open Sans"/>
          <w:sz w:val="22"/>
          <w:szCs w:val="22"/>
        </w:rPr>
      </w:pPr>
      <w:hyperlink r:id="rId17">
        <w:r w:rsidDel="00000000" w:rsidR="00000000" w:rsidRPr="00000000">
          <w:rPr>
            <w:rFonts w:ascii="Open Sans" w:cs="Open Sans" w:eastAsia="Open Sans" w:hAnsi="Open Sans"/>
            <w:color w:val="1155cc"/>
            <w:sz w:val="22"/>
            <w:szCs w:val="22"/>
            <w:rtl w:val="0"/>
          </w:rPr>
          <w:t xml:space="preserve">http://www.opensign.eu/gamescreator</w:t>
        </w:r>
      </w:hyperlink>
      <w:r w:rsidDel="00000000" w:rsidR="00000000" w:rsidRPr="00000000">
        <w:rPr>
          <w:rtl w:val="0"/>
        </w:rPr>
      </w:r>
    </w:p>
    <w:sectPr>
      <w:headerReference r:id="rId18" w:type="default"/>
      <w:footerReference r:id="rId19" w:type="default"/>
      <w:pgSz w:h="16834" w:w="11909"/>
      <w:pgMar w:bottom="1134" w:top="1134" w:left="1134" w:right="1134" w:header="62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22051" cy="220771"/>
          <wp:effectExtent b="0" l="0" r="0" t="0"/>
          <wp:docPr id="19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2051" cy="220771"/>
                  </a:xfrm>
                  <a:prstGeom prst="rect"/>
                  <a:ln/>
                </pic:spPr>
              </pic:pic>
            </a:graphicData>
          </a:graphic>
        </wp:inline>
      </w:drawing>
    </w:r>
    <w:r w:rsidDel="00000000" w:rsidR="00000000" w:rsidRPr="00000000">
      <w:rPr>
        <w:rFonts w:ascii="Open Sans" w:cs="Open Sans" w:eastAsia="Open Sans" w:hAnsi="Open Sans"/>
        <w:sz w:val="16"/>
        <w:szCs w:val="16"/>
        <w:rtl w:val="0"/>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D">
    <w:pPr>
      <w:tabs>
        <w:tab w:val="center" w:pos="4513"/>
        <w:tab w:val="right" w:pos="9026"/>
      </w:tabs>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1"/>
        <w:color w:val="366091"/>
        <w:sz w:val="22"/>
        <w:szCs w:val="22"/>
        <w:rtl w:val="0"/>
      </w:rPr>
      <w:t xml:space="preserve">Vous pouvez trouver d'autres ressources  sur</w:t>
    </w:r>
    <w:hyperlink r:id="rId2">
      <w:r w:rsidDel="00000000" w:rsidR="00000000" w:rsidRPr="00000000">
        <w:rPr>
          <w:rFonts w:ascii="Open Sans" w:cs="Open Sans" w:eastAsia="Open Sans" w:hAnsi="Open Sans"/>
          <w:b w:val="1"/>
          <w:i w:val="1"/>
          <w:color w:val="366091"/>
          <w:sz w:val="22"/>
          <w:szCs w:val="22"/>
          <w:rtl w:val="0"/>
        </w:rPr>
        <w:t xml:space="preserve"> </w:t>
      </w:r>
    </w:hyperlink>
    <w:hyperlink r:id="rId3">
      <w:r w:rsidDel="00000000" w:rsidR="00000000" w:rsidRPr="00000000">
        <w:rPr>
          <w:rFonts w:ascii="Open Sans" w:cs="Open Sans" w:eastAsia="Open Sans" w:hAnsi="Open Sans"/>
          <w:b w:val="1"/>
          <w:i w:val="1"/>
          <w:color w:val="366091"/>
          <w:sz w:val="22"/>
          <w:szCs w:val="22"/>
          <w:u w:val="single"/>
          <w:rtl w:val="0"/>
        </w:rPr>
        <w:t xml:space="preserve">www.opensign.eu</w:t>
      </w:r>
    </w:hyperlink>
    <w:r w:rsidDel="00000000" w:rsidR="00000000" w:rsidRPr="00000000">
      <w:rPr>
        <w:rFonts w:ascii="Open Sans" w:cs="Open Sans" w:eastAsia="Open Sans" w:hAnsi="Open Sans"/>
        <w:b w:val="1"/>
        <w:i w:val="1"/>
        <w:color w:val="366091"/>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-34915</wp:posOffset>
          </wp:positionV>
          <wp:extent cx="1810385" cy="530225"/>
          <wp:effectExtent b="0" l="0" r="0" t="0"/>
          <wp:wrapSquare wrapText="bothSides" distB="0" distT="0" distL="114300" distR="114300"/>
          <wp:docPr id="1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53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-281930</wp:posOffset>
          </wp:positionH>
          <wp:positionV relativeFrom="paragraph">
            <wp:posOffset>9525</wp:posOffset>
          </wp:positionV>
          <wp:extent cx="1975485" cy="426720"/>
          <wp:effectExtent b="0" l="0" r="0" t="0"/>
          <wp:wrapSquare wrapText="bothSides" distB="0" distT="0" distL="114300" distR="114300"/>
          <wp:docPr id="18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75485" cy="426720"/>
                  </a:xfrm>
                  <a:prstGeom prst="rect"/>
                  <a:ln/>
                </pic:spPr>
              </pic:pic>
            </a:graphicData>
          </a:graphic>
        </wp:anchor>
      </w:drawing>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2017-1-FR01-KA201-037433</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5FA2"/>
    <w:rPr>
      <w:sz w:val="24"/>
      <w:szCs w:val="24"/>
      <w:lang w:eastAsia="en-US" w:val="en-US"/>
    </w:rPr>
  </w:style>
  <w:style w:type="paragraph" w:styleId="Heading1">
    <w:name w:val="heading 1"/>
    <w:basedOn w:val="Normal"/>
    <w:next w:val="Normal"/>
    <w:link w:val="Heading1Char"/>
    <w:qFormat w:val="1"/>
    <w:rsid w:val="002B41AC"/>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6BB5"/>
    <w:rPr>
      <w:color w:val="0000ff"/>
      <w:u w:val="single"/>
    </w:rPr>
  </w:style>
  <w:style w:type="paragraph" w:styleId="Header">
    <w:name w:val="header"/>
    <w:basedOn w:val="Normal"/>
    <w:link w:val="HeaderChar"/>
    <w:uiPriority w:val="99"/>
    <w:rsid w:val="00D93B26"/>
    <w:pPr>
      <w:tabs>
        <w:tab w:val="center" w:pos="4513"/>
        <w:tab w:val="right" w:pos="9026"/>
      </w:tabs>
    </w:pPr>
  </w:style>
  <w:style w:type="character" w:styleId="HeaderChar" w:customStyle="1">
    <w:name w:val="Header Char"/>
    <w:link w:val="Header"/>
    <w:uiPriority w:val="99"/>
    <w:rsid w:val="00D93B26"/>
    <w:rPr>
      <w:sz w:val="24"/>
      <w:szCs w:val="24"/>
      <w:lang w:eastAsia="en-US" w:val="en-US"/>
    </w:rPr>
  </w:style>
  <w:style w:type="paragraph" w:styleId="Footer">
    <w:name w:val="footer"/>
    <w:basedOn w:val="Normal"/>
    <w:link w:val="FooterChar"/>
    <w:uiPriority w:val="99"/>
    <w:rsid w:val="00D93B26"/>
    <w:pPr>
      <w:tabs>
        <w:tab w:val="center" w:pos="4513"/>
        <w:tab w:val="right" w:pos="9026"/>
      </w:tabs>
    </w:pPr>
  </w:style>
  <w:style w:type="character" w:styleId="FooterChar" w:customStyle="1">
    <w:name w:val="Footer Char"/>
    <w:link w:val="Footer"/>
    <w:uiPriority w:val="99"/>
    <w:rsid w:val="00D93B26"/>
    <w:rPr>
      <w:sz w:val="24"/>
      <w:szCs w:val="24"/>
      <w:lang w:eastAsia="en-US" w:val="en-US"/>
    </w:rPr>
  </w:style>
  <w:style w:type="paragraph" w:styleId="NormalWeb">
    <w:name w:val="Normal (Web)"/>
    <w:basedOn w:val="Normal"/>
    <w:semiHidden w:val="1"/>
    <w:unhideWhenUsed w:val="1"/>
    <w:rsid w:val="009F6DBE"/>
  </w:style>
  <w:style w:type="character" w:styleId="UnresolvedMention1" w:customStyle="1">
    <w:name w:val="Unresolved Mention1"/>
    <w:uiPriority w:val="99"/>
    <w:semiHidden w:val="1"/>
    <w:unhideWhenUsed w:val="1"/>
    <w:rsid w:val="009F6DBE"/>
    <w:rPr>
      <w:color w:val="605e5c"/>
      <w:shd w:color="auto" w:fill="e1dfdd" w:val="clear"/>
    </w:rPr>
  </w:style>
  <w:style w:type="paragraph" w:styleId="ListParagraph">
    <w:name w:val="List Paragraph"/>
    <w:basedOn w:val="Normal"/>
    <w:uiPriority w:val="34"/>
    <w:qFormat w:val="1"/>
    <w:rsid w:val="00D56448"/>
    <w:pPr>
      <w:ind w:left="720"/>
      <w:contextualSpacing w:val="1"/>
    </w:pPr>
  </w:style>
  <w:style w:type="paragraph" w:styleId="BalloonText">
    <w:name w:val="Balloon Text"/>
    <w:basedOn w:val="Normal"/>
    <w:link w:val="BalloonTextChar"/>
    <w:rsid w:val="002628DD"/>
    <w:rPr>
      <w:rFonts w:ascii="Tahoma" w:cs="Tahoma" w:hAnsi="Tahoma"/>
      <w:sz w:val="16"/>
      <w:szCs w:val="16"/>
    </w:rPr>
  </w:style>
  <w:style w:type="character" w:styleId="BalloonTextChar" w:customStyle="1">
    <w:name w:val="Balloon Text Char"/>
    <w:basedOn w:val="DefaultParagraphFont"/>
    <w:link w:val="BalloonText"/>
    <w:rsid w:val="002628DD"/>
    <w:rPr>
      <w:rFonts w:ascii="Tahoma" w:cs="Tahoma" w:hAnsi="Tahoma"/>
      <w:sz w:val="16"/>
      <w:szCs w:val="16"/>
      <w:lang w:eastAsia="en-US" w:val="en-US"/>
    </w:rPr>
  </w:style>
  <w:style w:type="character" w:styleId="UnresolvedMention2" w:customStyle="1">
    <w:name w:val="Unresolved Mention2"/>
    <w:basedOn w:val="DefaultParagraphFont"/>
    <w:uiPriority w:val="99"/>
    <w:semiHidden w:val="1"/>
    <w:unhideWhenUsed w:val="1"/>
    <w:rsid w:val="00397386"/>
    <w:rPr>
      <w:color w:val="605e5c"/>
      <w:shd w:color="auto" w:fill="e1dfdd" w:val="clear"/>
    </w:rPr>
  </w:style>
  <w:style w:type="character" w:styleId="UnresolvedMention">
    <w:name w:val="Unresolved Mention"/>
    <w:basedOn w:val="DefaultParagraphFont"/>
    <w:uiPriority w:val="99"/>
    <w:semiHidden w:val="1"/>
    <w:unhideWhenUsed w:val="1"/>
    <w:rsid w:val="002B41AC"/>
    <w:rPr>
      <w:color w:val="605e5c"/>
      <w:shd w:color="auto" w:fill="e1dfdd" w:val="clear"/>
    </w:rPr>
  </w:style>
  <w:style w:type="character" w:styleId="Heading1Char" w:customStyle="1">
    <w:name w:val="Heading 1 Char"/>
    <w:basedOn w:val="DefaultParagraphFont"/>
    <w:link w:val="Heading1"/>
    <w:rsid w:val="002B41AC"/>
    <w:rPr>
      <w:rFonts w:asciiTheme="majorHAnsi" w:cstheme="majorBidi" w:eastAsiaTheme="majorEastAsia" w:hAnsiTheme="majorHAnsi"/>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en-sign.eu/thematic_topics/56" TargetMode="External"/><Relationship Id="rId10" Type="http://schemas.openxmlformats.org/officeDocument/2006/relationships/hyperlink" Target="https://eur-lex.europa.eu/legal-content/FR/TXT/?uri=LEGISSUM%3Ac11090" TargetMode="External"/><Relationship Id="rId13" Type="http://schemas.openxmlformats.org/officeDocument/2006/relationships/image" Target="media/image3.png"/><Relationship Id="rId12" Type="http://schemas.openxmlformats.org/officeDocument/2006/relationships/hyperlink" Target="https://www.opensign.eu/multiplechoice/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dia-pi.fr" TargetMode="External"/><Relationship Id="rId15" Type="http://schemas.openxmlformats.org/officeDocument/2006/relationships/hyperlink" Target="http://www.open-sign.eu/multiplechoice/62" TargetMode="External"/><Relationship Id="rId14" Type="http://schemas.openxmlformats.org/officeDocument/2006/relationships/hyperlink" Target="http://www.open-sign.eu/thematic_topics/56" TargetMode="External"/><Relationship Id="rId17" Type="http://schemas.openxmlformats.org/officeDocument/2006/relationships/hyperlink" Target="http://www.opensign.eu/gamescreator" TargetMode="External"/><Relationship Id="rId16" Type="http://schemas.openxmlformats.org/officeDocument/2006/relationships/hyperlink" Target="http://www.opensign.eu/memory_game/78"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opensign.eu/multiplechoice/62" TargetMode="External"/><Relationship Id="rId8" Type="http://schemas.openxmlformats.org/officeDocument/2006/relationships/hyperlink" Target="http://www.media-pi.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DmkT8tjEwNg2Kxa/c64dv8K8Qg==">AMUW2mV4Fv+RTyQxmZ2ElTd/FLCbMaAwIJXClInd00rzPYVB9iIycYVuNkN7fBKyKg5E207A98EiaOC4GoyMEjUgDUFIz7HX46O4HQOjI77fRF9/5A0OtFQ=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2019-08-08T10:30:00Z</dcterms:created>
  <dc:creator>Alina</dc:creator>
</cp:coreProperties>
</file>